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after="0" w:before="0"/>
        <w:jc w:val="left"/>
      </w:pPr>
      <w:r>
        <w:rPr>
          <w:rFonts w:ascii="Arial" w:hAnsi="Arial"/>
          <w:b/>
          <w:i w:val="0"/>
          <w:color w:val="693FD3"/>
          <w:sz w:val="18"/>
        </w:rPr>
        <w:t>MONITASK</w:t>
      </w:r>
    </w:p>
    <w:p>
      <w:pPr>
        <w:pageBreakBefore w:val="0"/>
        <w:spacing w:after="40" w:before="0"/>
        <w:jc w:val="left"/>
      </w:pPr>
      <w:r>
        <w:rPr>
          <w:rFonts w:ascii="Arial" w:hAnsi="Arial"/>
          <w:b/>
          <w:i w:val="0"/>
          <w:color w:val="1E1B2E"/>
          <w:sz w:val="34"/>
        </w:rPr>
        <w:t>Weekly timesheet with tasks</w:t>
      </w:r>
    </w:p>
    <w:p>
      <w:pPr>
        <w:pageBreakBefore w:val="0"/>
        <w:spacing w:after="120" w:before="0"/>
        <w:jc w:val="left"/>
      </w:pPr>
      <w:r>
        <w:rPr>
          <w:rFonts w:ascii="Arial" w:hAnsi="Arial"/>
          <w:b w:val="0"/>
          <w:i/>
          <w:color w:val="8A8699"/>
          <w:sz w:val="18"/>
        </w:rPr>
        <w:t>One row per task, with a project subtotal block at the bottom.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848"/>
        <w:gridCol w:w="3848"/>
        <w:gridCol w:w="3848"/>
        <w:gridCol w:w="3848"/>
      </w:tblGrid>
      <w:tr>
        <w:trPr>
          <w:trHeight w:val="331" w:hRule="atLeast"/>
        </w:trPr>
        <w:tc>
          <w:tcPr>
            <w:tcW w:type="dxa" w:w="18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Name</w:t>
            </w:r>
          </w:p>
        </w:tc>
        <w:tc>
          <w:tcPr>
            <w:tcW w:type="dxa" w:w="4464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  <w:tc>
          <w:tcPr>
            <w:tcW w:type="dxa" w:w="18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Week starting</w:t>
            </w:r>
          </w:p>
        </w:tc>
        <w:tc>
          <w:tcPr>
            <w:tcW w:type="dxa" w:w="4320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</w:tr>
      <w:tr>
        <w:trPr>
          <w:trHeight w:val="331" w:hRule="atLeast"/>
        </w:trPr>
        <w:tc>
          <w:tcPr>
            <w:tcW w:type="dxa" w:w="18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Role / department</w:t>
            </w:r>
          </w:p>
        </w:tc>
        <w:tc>
          <w:tcPr>
            <w:tcW w:type="dxa" w:w="4464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  <w:tc>
          <w:tcPr>
            <w:tcW w:type="dxa" w:w="18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Approver</w:t>
            </w:r>
          </w:p>
        </w:tc>
        <w:tc>
          <w:tcPr>
            <w:tcW w:type="dxa" w:w="4320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</w:tr>
    </w:tbl>
    <w:p>
      <w:pPr>
        <w:pageBreakBefore w:val="0"/>
        <w:spacing w:after="20" w:before="0"/>
        <w:jc w:val="left"/>
      </w:pPr>
      <w:r>
        <w:rPr>
          <w:rFonts w:ascii="Arial" w:hAnsi="Arial"/>
          <w:b w:val="0"/>
          <w:i w:val="0"/>
          <w:color w:val="1E1B2E"/>
          <w:sz w:val="6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color="CDB9EE"/>
          <w:left w:val="single" w:sz="6" w:color="CDB9EE"/>
          <w:bottom w:val="single" w:sz="6" w:color="CDB9EE"/>
          <w:right w:val="single" w:sz="6" w:color="CDB9EE"/>
          <w:insideH w:val="single" w:sz="6" w:color="CDB9EE"/>
          <w:insideV w:val="single" w:sz="6" w:color="CDB9EE"/>
        </w:tblBorders>
      </w:tblPr>
      <w:tblGrid>
        <w:gridCol w:w="2199"/>
        <w:gridCol w:w="2199"/>
        <w:gridCol w:w="2199"/>
        <w:gridCol w:w="2199"/>
        <w:gridCol w:w="2199"/>
        <w:gridCol w:w="2199"/>
        <w:gridCol w:w="2199"/>
      </w:tblGrid>
      <w:tr>
        <w:trPr>
          <w:trHeight w:val="460" w:hRule="atLeast"/>
        </w:trPr>
        <w:tc>
          <w:tcPr>
            <w:tcW w:type="dxa" w:w="1296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2736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Project</w:t>
            </w:r>
          </w:p>
        </w:tc>
        <w:tc>
          <w:tcPr>
            <w:tcW w:type="dxa" w:w="216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Client</w:t>
            </w:r>
          </w:p>
        </w:tc>
        <w:tc>
          <w:tcPr>
            <w:tcW w:type="dxa" w:w="511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Task description</w:t>
            </w:r>
          </w:p>
        </w:tc>
        <w:tc>
          <w:tcPr>
            <w:tcW w:type="dxa" w:w="115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Hours</w:t>
            </w:r>
          </w:p>
        </w:tc>
        <w:tc>
          <w:tcPr>
            <w:tcW w:type="dxa" w:w="1296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1656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Amount</w:t>
            </w:r>
          </w:p>
        </w:tc>
      </w:tr>
      <w:tr>
        <w:trPr>
          <w:trHeight w:val="374" w:hRule="atLeast"/>
        </w:trPr>
        <w:tc>
          <w:tcPr>
            <w:tcW w:type="dxa" w:w="129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73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511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374" w:hRule="atLeast"/>
        </w:trPr>
        <w:tc>
          <w:tcPr>
            <w:tcW w:type="dxa" w:w="129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73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511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374" w:hRule="atLeast"/>
        </w:trPr>
        <w:tc>
          <w:tcPr>
            <w:tcW w:type="dxa" w:w="129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73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511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374" w:hRule="atLeast"/>
        </w:trPr>
        <w:tc>
          <w:tcPr>
            <w:tcW w:type="dxa" w:w="129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73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511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374" w:hRule="atLeast"/>
        </w:trPr>
        <w:tc>
          <w:tcPr>
            <w:tcW w:type="dxa" w:w="129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73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511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374" w:hRule="atLeast"/>
        </w:trPr>
        <w:tc>
          <w:tcPr>
            <w:tcW w:type="dxa" w:w="129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73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511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374" w:hRule="atLeast"/>
        </w:trPr>
        <w:tc>
          <w:tcPr>
            <w:tcW w:type="dxa" w:w="129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73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511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374" w:hRule="atLeast"/>
        </w:trPr>
        <w:tc>
          <w:tcPr>
            <w:tcW w:type="dxa" w:w="129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73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511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374" w:hRule="atLeast"/>
        </w:trPr>
        <w:tc>
          <w:tcPr>
            <w:tcW w:type="dxa" w:w="129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73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511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60" w:hRule="atLeast"/>
        </w:trPr>
        <w:tc>
          <w:tcPr>
            <w:tcW w:type="dxa" w:w="1296"/>
            <w:shd w:val="clear" w:fill="E6D9F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WEEK TOTAL</w:t>
            </w:r>
          </w:p>
        </w:tc>
        <w:tc>
          <w:tcPr>
            <w:tcW w:type="dxa" w:w="2736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2160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5112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152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296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656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</w:tr>
    </w:tbl>
    <w:p>
      <w:pPr>
        <w:pageBreakBefore w:val="0"/>
        <w:spacing w:after="20" w:before="0"/>
        <w:jc w:val="left"/>
      </w:pPr>
      <w:r>
        <w:rPr>
          <w:rFonts w:ascii="Arial" w:hAnsi="Arial"/>
          <w:b w:val="0"/>
          <w:i w:val="0"/>
          <w:color w:val="1E1B2E"/>
          <w:sz w:val="6"/>
        </w:rPr>
      </w:r>
    </w:p>
    <w:p>
      <w:pPr>
        <w:pageBreakBefore w:val="0"/>
        <w:spacing w:after="80" w:before="0"/>
        <w:jc w:val="left"/>
      </w:pPr>
      <w:r>
        <w:rPr>
          <w:rFonts w:ascii="Arial" w:hAnsi="Arial"/>
          <w:b/>
          <w:i w:val="0"/>
          <w:color w:val="693FD3"/>
          <w:sz w:val="22"/>
        </w:rPr>
        <w:t>Subtotals by project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color="CDB9EE"/>
          <w:left w:val="single" w:sz="6" w:color="CDB9EE"/>
          <w:bottom w:val="single" w:sz="6" w:color="CDB9EE"/>
          <w:right w:val="single" w:sz="6" w:color="CDB9EE"/>
          <w:insideH w:val="single" w:sz="6" w:color="CDB9EE"/>
          <w:insideV w:val="single" w:sz="6" w:color="CDB9EE"/>
        </w:tblBorders>
      </w:tblPr>
      <w:tblGrid>
        <w:gridCol w:w="5131"/>
        <w:gridCol w:w="5131"/>
        <w:gridCol w:w="5131"/>
      </w:tblGrid>
      <w:tr>
        <w:trPr>
          <w:trHeight w:val="460" w:hRule="atLeast"/>
        </w:trPr>
        <w:tc>
          <w:tcPr>
            <w:tcW w:type="dxa" w:w="9216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Project</w:t>
            </w:r>
          </w:p>
        </w:tc>
        <w:tc>
          <w:tcPr>
            <w:tcW w:type="dxa" w:w="216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Hours</w:t>
            </w:r>
          </w:p>
        </w:tc>
        <w:tc>
          <w:tcPr>
            <w:tcW w:type="dxa" w:w="259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Amount</w:t>
            </w:r>
          </w:p>
        </w:tc>
      </w:tr>
      <w:tr>
        <w:trPr>
          <w:trHeight w:val="374" w:hRule="atLeast"/>
        </w:trPr>
        <w:tc>
          <w:tcPr>
            <w:tcW w:type="dxa" w:w="921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59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374" w:hRule="atLeast"/>
        </w:trPr>
        <w:tc>
          <w:tcPr>
            <w:tcW w:type="dxa" w:w="921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59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374" w:hRule="atLeast"/>
        </w:trPr>
        <w:tc>
          <w:tcPr>
            <w:tcW w:type="dxa" w:w="921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59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60" w:hRule="atLeast"/>
        </w:trPr>
        <w:tc>
          <w:tcPr>
            <w:tcW w:type="dxa" w:w="9216"/>
            <w:shd w:val="clear" w:fill="E6D9F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PERIOD TOTAL</w:t>
            </w:r>
          </w:p>
        </w:tc>
        <w:tc>
          <w:tcPr>
            <w:tcW w:type="dxa" w:w="2160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2592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</w:tr>
    </w:tbl>
    <w:p>
      <w:pPr>
        <w:pageBreakBefore w:val="0"/>
        <w:spacing w:after="60" w:before="0"/>
        <w:jc w:val="left"/>
      </w:pPr>
      <w:r>
        <w:rPr>
          <w:rFonts w:ascii="Arial" w:hAnsi="Arial"/>
          <w:b w:val="0"/>
          <w:i w:val="0"/>
          <w:color w:val="1E1B2E"/>
          <w:sz w:val="1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7697"/>
        <w:gridCol w:w="7697"/>
      </w:tblGrid>
      <w:tr>
        <w:tc>
          <w:tcPr>
            <w:tcW w:type="dxa" w:w="769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Employee signature and date</w:t>
            </w:r>
          </w:p>
        </w:tc>
        <w:tc>
          <w:tcPr>
            <w:tcW w:type="dxa" w:w="769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Supervisor approval and date</w:t>
            </w:r>
          </w:p>
        </w:tc>
      </w:tr>
      <w:tr>
        <w:trPr>
          <w:trHeight w:val="432" w:hRule="atLeast"/>
        </w:trPr>
        <w:tc>
          <w:tcPr>
            <w:tcW w:type="dxa" w:w="6048"/>
            <w:tcBorders>
              <w:bottom w:val="single" w:sz="6" w:color="CDB9EE"/>
            </w:tcBorders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6048"/>
            <w:tcBorders>
              <w:bottom w:val="single" w:sz="6" w:color="CDB9EE"/>
            </w:tcBorders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</w:tbl>
    <w:p>
      <w:pPr>
        <w:pageBreakBefore/>
        <w:spacing w:after="0" w:before="0"/>
        <w:jc w:val="left"/>
      </w:pPr>
      <w:r>
        <w:rPr>
          <w:rFonts w:ascii="Arial" w:hAnsi="Arial"/>
          <w:b/>
          <w:i w:val="0"/>
          <w:color w:val="693FD3"/>
          <w:sz w:val="18"/>
        </w:rPr>
        <w:t>MONITASK</w:t>
      </w:r>
    </w:p>
    <w:p>
      <w:pPr>
        <w:pageBreakBefore w:val="0"/>
        <w:spacing w:after="160" w:before="0"/>
        <w:jc w:val="left"/>
      </w:pPr>
      <w:r>
        <w:rPr>
          <w:rFonts w:ascii="Arial" w:hAnsi="Arial"/>
          <w:b/>
          <w:i w:val="0"/>
          <w:color w:val="1E1B2E"/>
          <w:sz w:val="28"/>
        </w:rPr>
        <w:t>Example: one 43-hour week, billed across two clients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color="CDB9EE"/>
          <w:left w:val="single" w:sz="6" w:color="CDB9EE"/>
          <w:bottom w:val="single" w:sz="6" w:color="CDB9EE"/>
          <w:right w:val="single" w:sz="6" w:color="CDB9EE"/>
          <w:insideH w:val="single" w:sz="6" w:color="CDB9EE"/>
          <w:insideV w:val="single" w:sz="6" w:color="CDB9EE"/>
        </w:tblBorders>
      </w:tblPr>
      <w:tblGrid>
        <w:gridCol w:w="2199"/>
        <w:gridCol w:w="2199"/>
        <w:gridCol w:w="2199"/>
        <w:gridCol w:w="2199"/>
        <w:gridCol w:w="2199"/>
        <w:gridCol w:w="2199"/>
        <w:gridCol w:w="2199"/>
      </w:tblGrid>
      <w:tr>
        <w:trPr>
          <w:trHeight w:val="460" w:hRule="atLeast"/>
        </w:trPr>
        <w:tc>
          <w:tcPr>
            <w:tcW w:type="dxa" w:w="1296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2736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Project</w:t>
            </w:r>
          </w:p>
        </w:tc>
        <w:tc>
          <w:tcPr>
            <w:tcW w:type="dxa" w:w="216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Client</w:t>
            </w:r>
          </w:p>
        </w:tc>
        <w:tc>
          <w:tcPr>
            <w:tcW w:type="dxa" w:w="511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Task description</w:t>
            </w:r>
          </w:p>
        </w:tc>
        <w:tc>
          <w:tcPr>
            <w:tcW w:type="dxa" w:w="115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Hours</w:t>
            </w:r>
          </w:p>
        </w:tc>
        <w:tc>
          <w:tcPr>
            <w:tcW w:type="dxa" w:w="1296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1656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Amount</w:t>
            </w:r>
          </w:p>
        </w:tc>
      </w:tr>
      <w:tr>
        <w:trPr>
          <w:trHeight w:val="432" w:hRule="atLeast"/>
        </w:trPr>
        <w:tc>
          <w:tcPr>
            <w:tcW w:type="dxa" w:w="129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Mon</w:t>
            </w:r>
          </w:p>
        </w:tc>
        <w:tc>
          <w:tcPr>
            <w:tcW w:type="dxa" w:w="273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Website redesign</w:t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Acme Corp</w:t>
            </w:r>
          </w:p>
        </w:tc>
        <w:tc>
          <w:tcPr>
            <w:tcW w:type="dxa" w:w="511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Wireframes, homepage and pricing</w:t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8.50</w:t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$85.00</w:t>
            </w:r>
          </w:p>
        </w:tc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$722.50</w:t>
            </w:r>
          </w:p>
        </w:tc>
      </w:tr>
      <w:tr>
        <w:trPr>
          <w:trHeight w:val="432" w:hRule="atLeast"/>
        </w:trPr>
        <w:tc>
          <w:tcPr>
            <w:tcW w:type="dxa" w:w="129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Tue</w:t>
            </w:r>
          </w:p>
        </w:tc>
        <w:tc>
          <w:tcPr>
            <w:tcW w:type="dxa" w:w="273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Website redesign</w:t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Acme Corp</w:t>
            </w:r>
          </w:p>
        </w:tc>
        <w:tc>
          <w:tcPr>
            <w:tcW w:type="dxa" w:w="511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Component build</w:t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8.50</w:t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$85.00</w:t>
            </w:r>
          </w:p>
        </w:tc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$722.50</w:t>
            </w:r>
          </w:p>
        </w:tc>
      </w:tr>
      <w:tr>
        <w:trPr>
          <w:trHeight w:val="432" w:hRule="atLeast"/>
        </w:trPr>
        <w:tc>
          <w:tcPr>
            <w:tcW w:type="dxa" w:w="129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Wed</w:t>
            </w:r>
          </w:p>
        </w:tc>
        <w:tc>
          <w:tcPr>
            <w:tcW w:type="dxa" w:w="273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Brand audit</w:t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Bluebird Ltd</w:t>
            </w:r>
          </w:p>
        </w:tc>
        <w:tc>
          <w:tcPr>
            <w:tcW w:type="dxa" w:w="511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Competitor review</w:t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4.00</w:t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$95.00</w:t>
            </w:r>
          </w:p>
        </w:tc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$380.00</w:t>
            </w:r>
          </w:p>
        </w:tc>
      </w:tr>
      <w:tr>
        <w:trPr>
          <w:trHeight w:val="432" w:hRule="atLeast"/>
        </w:trPr>
        <w:tc>
          <w:tcPr>
            <w:tcW w:type="dxa" w:w="129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Wed</w:t>
            </w:r>
          </w:p>
        </w:tc>
        <w:tc>
          <w:tcPr>
            <w:tcW w:type="dxa" w:w="273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Website redesign</w:t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Acme Corp</w:t>
            </w:r>
          </w:p>
        </w:tc>
        <w:tc>
          <w:tcPr>
            <w:tcW w:type="dxa" w:w="511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Client review call and revisions</w:t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4.00</w:t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$85.00</w:t>
            </w:r>
          </w:p>
        </w:tc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$340.00</w:t>
            </w:r>
          </w:p>
        </w:tc>
      </w:tr>
      <w:tr>
        <w:trPr>
          <w:trHeight w:val="432" w:hRule="atLeast"/>
        </w:trPr>
        <w:tc>
          <w:tcPr>
            <w:tcW w:type="dxa" w:w="129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Thu</w:t>
            </w:r>
          </w:p>
        </w:tc>
        <w:tc>
          <w:tcPr>
            <w:tcW w:type="dxa" w:w="273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Internal</w:t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-</w:t>
            </w:r>
          </w:p>
        </w:tc>
        <w:tc>
          <w:tcPr>
            <w:tcW w:type="dxa" w:w="511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Hiring, admin and planning</w:t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9.50</w:t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-</w:t>
            </w:r>
          </w:p>
        </w:tc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-</w:t>
            </w:r>
          </w:p>
        </w:tc>
      </w:tr>
      <w:tr>
        <w:trPr>
          <w:trHeight w:val="432" w:hRule="atLeast"/>
        </w:trPr>
        <w:tc>
          <w:tcPr>
            <w:tcW w:type="dxa" w:w="129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Fri</w:t>
            </w:r>
          </w:p>
        </w:tc>
        <w:tc>
          <w:tcPr>
            <w:tcW w:type="dxa" w:w="273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Brand audit</w:t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Bluebird Ltd</w:t>
            </w:r>
          </w:p>
        </w:tc>
        <w:tc>
          <w:tcPr>
            <w:tcW w:type="dxa" w:w="511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Findings deck</w:t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8.50</w:t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$95.00</w:t>
            </w:r>
          </w:p>
        </w:tc>
        <w:tc>
          <w:tcPr>
            <w:tcW w:type="dxa" w:w="165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$807.50</w:t>
            </w:r>
          </w:p>
        </w:tc>
      </w:tr>
      <w:tr>
        <w:trPr>
          <w:trHeight w:val="460" w:hRule="atLeast"/>
        </w:trPr>
        <w:tc>
          <w:tcPr>
            <w:tcW w:type="dxa" w:w="1296"/>
            <w:shd w:val="clear" w:fill="E6D9F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WEEK TOTAL</w:t>
            </w:r>
          </w:p>
        </w:tc>
        <w:tc>
          <w:tcPr>
            <w:tcW w:type="dxa" w:w="2736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2160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5112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152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43.00</w:t>
            </w:r>
          </w:p>
        </w:tc>
        <w:tc>
          <w:tcPr>
            <w:tcW w:type="dxa" w:w="1296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656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$2,972.50</w:t>
            </w:r>
          </w:p>
        </w:tc>
      </w:tr>
    </w:tbl>
    <w:p>
      <w:pPr>
        <w:pageBreakBefore w:val="0"/>
        <w:spacing w:after="80" w:before="0"/>
        <w:jc w:val="left"/>
      </w:pPr>
      <w:r>
        <w:rPr>
          <w:rFonts w:ascii="Arial" w:hAnsi="Arial"/>
          <w:b w:val="0"/>
          <w:i w:val="0"/>
          <w:color w:val="1E1B2E"/>
          <w:sz w:val="12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color="CDB9EE"/>
          <w:left w:val="single" w:sz="6" w:color="CDB9EE"/>
          <w:bottom w:val="single" w:sz="6" w:color="CDB9EE"/>
          <w:right w:val="single" w:sz="6" w:color="CDB9EE"/>
          <w:insideH w:val="single" w:sz="6" w:color="CDB9EE"/>
          <w:insideV w:val="single" w:sz="6" w:color="CDB9EE"/>
        </w:tblBorders>
      </w:tblPr>
      <w:tblGrid>
        <w:gridCol w:w="5131"/>
        <w:gridCol w:w="5131"/>
        <w:gridCol w:w="5131"/>
      </w:tblGrid>
      <w:tr>
        <w:trPr>
          <w:trHeight w:val="460" w:hRule="atLeast"/>
        </w:trPr>
        <w:tc>
          <w:tcPr>
            <w:tcW w:type="dxa" w:w="9216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Project</w:t>
            </w:r>
          </w:p>
        </w:tc>
        <w:tc>
          <w:tcPr>
            <w:tcW w:type="dxa" w:w="216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Hours</w:t>
            </w:r>
          </w:p>
        </w:tc>
        <w:tc>
          <w:tcPr>
            <w:tcW w:type="dxa" w:w="259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Amount</w:t>
            </w:r>
          </w:p>
        </w:tc>
      </w:tr>
      <w:tr>
        <w:trPr>
          <w:trHeight w:val="432" w:hRule="atLeast"/>
        </w:trPr>
        <w:tc>
          <w:tcPr>
            <w:tcW w:type="dxa" w:w="921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Website redesign</w:t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21.00</w:t>
            </w:r>
          </w:p>
        </w:tc>
        <w:tc>
          <w:tcPr>
            <w:tcW w:type="dxa" w:w="259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$1,785.00</w:t>
            </w:r>
          </w:p>
        </w:tc>
      </w:tr>
      <w:tr>
        <w:trPr>
          <w:trHeight w:val="432" w:hRule="atLeast"/>
        </w:trPr>
        <w:tc>
          <w:tcPr>
            <w:tcW w:type="dxa" w:w="921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Brand audit</w:t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12.50</w:t>
            </w:r>
          </w:p>
        </w:tc>
        <w:tc>
          <w:tcPr>
            <w:tcW w:type="dxa" w:w="259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$1,187.50</w:t>
            </w:r>
          </w:p>
        </w:tc>
      </w:tr>
      <w:tr>
        <w:trPr>
          <w:trHeight w:val="432" w:hRule="atLeast"/>
        </w:trPr>
        <w:tc>
          <w:tcPr>
            <w:tcW w:type="dxa" w:w="9216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Internal</w:t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9.50</w:t>
            </w:r>
          </w:p>
        </w:tc>
        <w:tc>
          <w:tcPr>
            <w:tcW w:type="dxa" w:w="259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$0.00</w:t>
            </w:r>
          </w:p>
        </w:tc>
      </w:tr>
      <w:tr>
        <w:trPr>
          <w:trHeight w:val="460" w:hRule="atLeast"/>
        </w:trPr>
        <w:tc>
          <w:tcPr>
            <w:tcW w:type="dxa" w:w="9216"/>
            <w:shd w:val="clear" w:fill="E6D9F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PERIOD TOTAL</w:t>
            </w:r>
          </w:p>
        </w:tc>
        <w:tc>
          <w:tcPr>
            <w:tcW w:type="dxa" w:w="2160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43.00</w:t>
            </w:r>
          </w:p>
        </w:tc>
        <w:tc>
          <w:tcPr>
            <w:tcW w:type="dxa" w:w="2592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$2,972.50</w:t>
            </w:r>
          </w:p>
        </w:tc>
      </w:tr>
    </w:tbl>
    <w:p>
      <w:pPr>
        <w:pageBreakBefore/>
        <w:spacing w:after="0" w:before="0"/>
        <w:jc w:val="left"/>
      </w:pPr>
      <w:r>
        <w:rPr>
          <w:rFonts w:ascii="Arial" w:hAnsi="Arial"/>
          <w:b/>
          <w:i w:val="0"/>
          <w:color w:val="693FD3"/>
          <w:sz w:val="18"/>
        </w:rPr>
        <w:t>MONITASK</w:t>
      </w:r>
    </w:p>
    <w:p>
      <w:pPr>
        <w:pageBreakBefore w:val="0"/>
        <w:spacing w:after="160" w:before="0"/>
        <w:jc w:val="left"/>
      </w:pPr>
      <w:r>
        <w:rPr>
          <w:rFonts w:ascii="Arial" w:hAnsi="Arial"/>
          <w:b/>
          <w:i w:val="0"/>
          <w:color w:val="1E1B2E"/>
          <w:sz w:val="30"/>
        </w:rPr>
        <w:t>Weekly timesheet with tasks — how to use it</w:t>
      </w:r>
    </w:p>
    <w:p>
      <w:pPr>
        <w:pageBreakBefore w:val="0"/>
        <w:spacing w:after="80" w:before="120"/>
        <w:jc w:val="left"/>
      </w:pPr>
      <w:r>
        <w:rPr>
          <w:rFonts w:ascii="Arial" w:hAnsi="Arial"/>
          <w:b/>
          <w:i w:val="0"/>
          <w:color w:val="693FD3"/>
          <w:sz w:val="22"/>
        </w:rPr>
        <w:t>Filling it in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1.  </w:t>
      </w:r>
      <w:r>
        <w:rPr>
          <w:rFonts w:ascii="Arial" w:hAnsi="Arial"/>
          <w:b w:val="0"/>
          <w:color w:val="1E1B2E"/>
          <w:sz w:val="19"/>
        </w:rPr>
        <w:t>Fill the header before the first shift of the week, not at the end of it.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2.  </w:t>
      </w:r>
      <w:r>
        <w:rPr>
          <w:rFonts w:ascii="Arial" w:hAnsi="Arial"/>
          <w:b w:val="0"/>
          <w:color w:val="1E1B2E"/>
          <w:sz w:val="19"/>
        </w:rPr>
        <w:t>Each row is a task, not a day. A day spent on three projects is three rows.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3.  </w:t>
      </w:r>
      <w:r>
        <w:rPr>
          <w:rFonts w:ascii="Arial" w:hAnsi="Arial"/>
          <w:b w:val="0"/>
          <w:color w:val="1E1B2E"/>
          <w:sz w:val="19"/>
        </w:rPr>
        <w:t>Enter hours in decimal — 90 minutes is 1.50, not 1.30.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4.  </w:t>
      </w:r>
      <w:r>
        <w:rPr>
          <w:rFonts w:ascii="Arial" w:hAnsi="Arial"/>
          <w:b w:val="0"/>
          <w:color w:val="1E1B2E"/>
          <w:sz w:val="19"/>
        </w:rPr>
        <w:t>Rate times hours gives the amount. Leave the rate blank for non-billable work.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5.  </w:t>
      </w:r>
      <w:r>
        <w:rPr>
          <w:rFonts w:ascii="Arial" w:hAnsi="Arial"/>
          <w:b w:val="0"/>
          <w:color w:val="1E1B2E"/>
          <w:sz w:val="19"/>
        </w:rPr>
        <w:t>Total each project at the bottom, then the week.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6.  </w:t>
      </w:r>
      <w:r>
        <w:rPr>
          <w:rFonts w:ascii="Arial" w:hAnsi="Arial"/>
          <w:b w:val="0"/>
          <w:color w:val="1E1B2E"/>
          <w:sz w:val="19"/>
        </w:rPr>
        <w:t>Sign it, get it approved, and keep a copy before it goes to payroll.</w:t>
      </w:r>
    </w:p>
    <w:p>
      <w:pPr>
        <w:pageBreakBefore w:val="0"/>
        <w:spacing w:after="80" w:before="120"/>
        <w:jc w:val="left"/>
      </w:pPr>
      <w:r>
        <w:rPr>
          <w:rFonts w:ascii="Arial" w:hAnsi="Arial"/>
          <w:b/>
          <w:i w:val="0"/>
          <w:color w:val="693FD3"/>
          <w:sz w:val="22"/>
        </w:rPr>
        <w:t>About this template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1.  </w:t>
      </w:r>
      <w:r>
        <w:rPr>
          <w:rFonts w:ascii="Arial" w:hAnsi="Arial"/>
          <w:b w:val="0"/>
          <w:color w:val="1E1B2E"/>
          <w:sz w:val="19"/>
        </w:rPr>
        <w:t>The Excel and Google Sheets versions do the per-project subtotals for you with SUMIF, and the billable amounts.</w:t>
      </w:r>
    </w:p>
    <w:sectPr w:rsidR="00FC693F" w:rsidRPr="0006063C" w:rsidSect="00034616">
      <w:footerReference w:type="default" r:id="rId9"/>
      <w:pgSz w:w="16834" w:h="11909" w:orient="landscape"/>
      <w:pgMar w:top="720" w:right="720" w:bottom="720" w:left="720" w:header="720" w:footer="23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i/>
        <w:color w:val="8A8699"/>
        <w:sz w:val="14"/>
      </w:rPr>
      <w:t>Free weekly timesheet template from Monitask. Overtime under the FLSA is owed above 40 hours in a workweek, not per pay period. This template is a record-keeping aid,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